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3D48E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999999"/>
          <w:spacing w:val="0"/>
          <w:sz w:val="18"/>
          <w:szCs w:val="18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48"/>
          <w:szCs w:val="48"/>
        </w:rPr>
        <w:t>民爆行业行政处罚事项不予、免予处罚清单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999999"/>
          <w:spacing w:val="0"/>
          <w:kern w:val="0"/>
          <w:sz w:val="18"/>
          <w:szCs w:val="18"/>
          <w:u w:val="none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999999"/>
          <w:spacing w:val="0"/>
          <w:kern w:val="0"/>
          <w:sz w:val="18"/>
          <w:szCs w:val="18"/>
          <w:u w:val="none"/>
          <w:lang w:val="en-US" w:eastAsia="zh-CN" w:bidi="ar"/>
        </w:rPr>
        <w:instrText xml:space="preserve"> HYPERLINK "http://sfj.lasa.gov.cn/sfj/clqjz/202512/6cb9fc5b5cba4c76844e295c02a2dce2.shtml" \o "分享到微信"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999999"/>
          <w:spacing w:val="0"/>
          <w:kern w:val="0"/>
          <w:sz w:val="18"/>
          <w:szCs w:val="18"/>
          <w:u w:val="none"/>
          <w:lang w:val="en-US" w:eastAsia="zh-CN" w:bidi="ar"/>
        </w:rPr>
        <w:fldChar w:fldCharType="separate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999999"/>
          <w:spacing w:val="0"/>
          <w:kern w:val="0"/>
          <w:sz w:val="18"/>
          <w:szCs w:val="18"/>
          <w:u w:val="none"/>
          <w:lang w:val="en-US" w:eastAsia="zh-CN" w:bidi="ar"/>
        </w:rPr>
        <w:fldChar w:fldCharType="end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999999"/>
          <w:spacing w:val="0"/>
          <w:kern w:val="0"/>
          <w:sz w:val="18"/>
          <w:szCs w:val="18"/>
          <w:u w:val="none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999999"/>
          <w:spacing w:val="0"/>
          <w:kern w:val="0"/>
          <w:sz w:val="18"/>
          <w:szCs w:val="18"/>
          <w:u w:val="none"/>
          <w:lang w:val="en-US" w:eastAsia="zh-CN" w:bidi="ar"/>
        </w:rPr>
        <w:instrText xml:space="preserve"> HYPERLINK "http://sfj.lasa.gov.cn/sfj/clqjz/202512/6cb9fc5b5cba4c76844e295c02a2dce2.shtml" \o "分享到新浪微博"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999999"/>
          <w:spacing w:val="0"/>
          <w:kern w:val="0"/>
          <w:sz w:val="18"/>
          <w:szCs w:val="18"/>
          <w:u w:val="none"/>
          <w:lang w:val="en-US" w:eastAsia="zh-CN" w:bidi="ar"/>
        </w:rPr>
        <w:fldChar w:fldCharType="separate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999999"/>
          <w:spacing w:val="0"/>
          <w:kern w:val="0"/>
          <w:sz w:val="18"/>
          <w:szCs w:val="18"/>
          <w:u w:val="none"/>
          <w:lang w:val="en-US" w:eastAsia="zh-CN" w:bidi="ar"/>
        </w:rPr>
        <w:fldChar w:fldCharType="end"/>
      </w:r>
    </w:p>
    <w:p w14:paraId="7D35EA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78" w:afterAutospacing="0" w:line="30" w:lineRule="atLeast"/>
        <w:ind w:left="0" w:right="0" w:firstLine="420"/>
        <w:jc w:val="left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  <w:t>西藏自治区经济和信息化厅行政处罚事项不予、免予处罚清单</w:t>
      </w:r>
    </w:p>
    <w:p w14:paraId="21FC5E2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78" w:afterAutospacing="0" w:line="30" w:lineRule="atLeast"/>
        <w:ind w:left="0" w:right="0" w:firstLine="420"/>
        <w:jc w:val="left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  <w:t>表 1 民爆行业行政处罚不予、免予处罚清单</w:t>
      </w:r>
    </w:p>
    <w:tbl>
      <w:tblPr>
        <w:tblStyle w:val="4"/>
        <w:tblW w:w="0" w:type="auto"/>
        <w:tblInd w:w="-270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 w:color="auto" w:fill="auto"/>
        <w:tblLayout w:type="autofit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620"/>
        <w:gridCol w:w="961"/>
        <w:gridCol w:w="2626"/>
        <w:gridCol w:w="819"/>
        <w:gridCol w:w="2249"/>
        <w:gridCol w:w="1361"/>
      </w:tblGrid>
      <w:tr w14:paraId="44FAA5FF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84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30B9B35B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24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73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485EEEAF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5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违法行为</w:t>
            </w:r>
          </w:p>
        </w:tc>
        <w:tc>
          <w:tcPr>
            <w:tcW w:w="457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5D22FE03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92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法定依据</w:t>
            </w:r>
          </w:p>
        </w:tc>
        <w:tc>
          <w:tcPr>
            <w:tcW w:w="14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59E70230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裁量阶次</w:t>
            </w:r>
          </w:p>
        </w:tc>
        <w:tc>
          <w:tcPr>
            <w:tcW w:w="296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255FC052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12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适用条件</w:t>
            </w:r>
          </w:p>
        </w:tc>
        <w:tc>
          <w:tcPr>
            <w:tcW w:w="232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48753824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8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具体标准</w:t>
            </w:r>
          </w:p>
        </w:tc>
      </w:tr>
      <w:tr w14:paraId="344873C0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84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4F393A2F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1</w:t>
            </w:r>
          </w:p>
        </w:tc>
        <w:tc>
          <w:tcPr>
            <w:tcW w:w="173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5814BA88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生产、销售民用爆炸物品的企业违反安全技术规程生产作业的行为</w:t>
            </w:r>
          </w:p>
        </w:tc>
        <w:tc>
          <w:tcPr>
            <w:tcW w:w="457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B2E8932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6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《民用爆炸物品安全管理条例》第四十五条规定：违反本条例规定，生产、销售民用爆炸物品的企业有下列行为之一的，由民用爆炸物品行业主管部门责令限期改正，处 10 万元以上 50 万元以下的罚款；逾期不改正的，责令停产停业整顿；情节严重的， 吊销《民用爆炸物品生产许可证》或者《民用爆炸物品销售许可证》： （二）违反安全技术规程生产作业的。</w:t>
            </w:r>
          </w:p>
        </w:tc>
        <w:tc>
          <w:tcPr>
            <w:tcW w:w="14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635A145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免予处罚</w:t>
            </w:r>
          </w:p>
        </w:tc>
        <w:tc>
          <w:tcPr>
            <w:tcW w:w="296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7B236593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初次违法且未造成生产安全事故并及时改正的</w:t>
            </w:r>
          </w:p>
        </w:tc>
        <w:tc>
          <w:tcPr>
            <w:tcW w:w="232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60AF9FEE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1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批评教育，责令限期改正</w:t>
            </w:r>
          </w:p>
          <w:p w14:paraId="31905264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378" w:afterAutospacing="0" w:line="30" w:lineRule="atLeast"/>
              <w:ind w:left="0" w:right="0" w:firstLine="62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（免予处罚）</w:t>
            </w:r>
          </w:p>
        </w:tc>
      </w:tr>
      <w:tr w14:paraId="1BFE128B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84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158810C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2</w:t>
            </w:r>
          </w:p>
        </w:tc>
        <w:tc>
          <w:tcPr>
            <w:tcW w:w="173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470D25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18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未按照规定在专用仓库设置技术防范设施的行为</w:t>
            </w:r>
          </w:p>
        </w:tc>
        <w:tc>
          <w:tcPr>
            <w:tcW w:w="457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251B6D4F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0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《民用爆炸物品安全管理条例》第四十九条规定：违反本条例规定，有下列情形之一的，由民用爆炸物品行业主管部门、公安机关按照职责责令限期改正，可以并处5 万元以上 20 万元以下的罚款；逾期不改正的，责令停产停业整顿；情节严重的， 吊销许可证：（ 一）未按照规定在专用仓库设置技术防范设施的。</w:t>
            </w:r>
          </w:p>
        </w:tc>
        <w:tc>
          <w:tcPr>
            <w:tcW w:w="14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6EAD6A6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不予处罚</w:t>
            </w:r>
          </w:p>
        </w:tc>
        <w:tc>
          <w:tcPr>
            <w:tcW w:w="296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6D8E76E9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14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违法行为轻微并及时改正，没有发生生产安全事故</w:t>
            </w:r>
          </w:p>
        </w:tc>
        <w:tc>
          <w:tcPr>
            <w:tcW w:w="232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6EDD80E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1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批评教育，责令限期改正</w:t>
            </w:r>
          </w:p>
        </w:tc>
      </w:tr>
      <w:tr w14:paraId="7B74B3A0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84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1193A8A6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3</w:t>
            </w:r>
          </w:p>
        </w:tc>
        <w:tc>
          <w:tcPr>
            <w:tcW w:w="173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4BD41911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对生产、销售民用爆炸物品的企业违</w:t>
            </w:r>
          </w:p>
          <w:p w14:paraId="6F0A2FB0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78" w:afterAutospacing="0" w:line="3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反民用爆炸物品存储管理规定的行为</w:t>
            </w:r>
          </w:p>
        </w:tc>
        <w:tc>
          <w:tcPr>
            <w:tcW w:w="457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CC1B23A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2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《民用爆炸物品安全管理条例》第四十九条规定：违反</w:t>
            </w:r>
          </w:p>
          <w:p w14:paraId="3EA87853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378" w:afterAutospacing="0" w:line="30" w:lineRule="atLeast"/>
              <w:ind w:left="0" w:right="0" w:firstLine="12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本条例规定，有下列情形之一的，由民用爆炸物品行业</w:t>
            </w:r>
          </w:p>
          <w:p w14:paraId="03560C4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378" w:afterAutospacing="0" w:line="30" w:lineRule="atLeast"/>
              <w:ind w:left="0" w:right="0" w:firstLine="1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主管部门、公安机关按照职责责令限期改正，可以并处</w:t>
            </w:r>
          </w:p>
          <w:p w14:paraId="6C728F3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378" w:afterAutospacing="0" w:line="30" w:lineRule="atLeast"/>
              <w:ind w:left="0" w:right="0" w:firstLine="1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5 万元以上 20 万元以下的罚款；逾期不改正的，责令停</w:t>
            </w:r>
          </w:p>
          <w:p w14:paraId="27F21A3D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378" w:afterAutospacing="0" w:line="30" w:lineRule="atLeast"/>
              <w:ind w:left="0" w:right="0" w:firstLine="12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产停业整顿；情节严重的，吊销许可证：（三）超量储</w:t>
            </w:r>
          </w:p>
          <w:p w14:paraId="4F0319E9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378" w:afterAutospacing="0" w:line="30" w:lineRule="atLeast"/>
              <w:ind w:left="0" w:right="0" w:firstLine="12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存、在非专用仓库储存或者违反储存标准和规范储存民</w:t>
            </w:r>
          </w:p>
          <w:p w14:paraId="3EA1809E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378" w:afterAutospacing="0" w:line="30" w:lineRule="atLeast"/>
              <w:ind w:left="0" w:right="0" w:firstLine="166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用爆炸物品的。</w:t>
            </w:r>
          </w:p>
        </w:tc>
        <w:tc>
          <w:tcPr>
            <w:tcW w:w="14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1E98DD1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免予处罚</w:t>
            </w:r>
          </w:p>
        </w:tc>
        <w:tc>
          <w:tcPr>
            <w:tcW w:w="296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7C33DF48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10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超出核定容量 1%以下，或者在非专用仓库储存、违反储存标准和规范储存民用爆炸物品 0.1 吨(100 发、 100 米)以下，未造成生产安全事故的</w:t>
            </w:r>
          </w:p>
        </w:tc>
        <w:tc>
          <w:tcPr>
            <w:tcW w:w="232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395B17EE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1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批评教育，责令限期改正</w:t>
            </w:r>
          </w:p>
        </w:tc>
      </w:tr>
      <w:tr w14:paraId="5CF4A5E6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84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94D60B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4</w:t>
            </w:r>
          </w:p>
        </w:tc>
        <w:tc>
          <w:tcPr>
            <w:tcW w:w="173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360F70A6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未按规定提交年度</w:t>
            </w:r>
          </w:p>
        </w:tc>
        <w:tc>
          <w:tcPr>
            <w:tcW w:w="457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20D5498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《民用爆炸物品生产许可实施办法》第二十七条 民用爆</w:t>
            </w:r>
          </w:p>
        </w:tc>
        <w:tc>
          <w:tcPr>
            <w:tcW w:w="14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C4E3AA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不予处罚</w:t>
            </w:r>
          </w:p>
        </w:tc>
        <w:tc>
          <w:tcPr>
            <w:tcW w:w="296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1C599F30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未按规定提交年度报告的，情节轻</w:t>
            </w:r>
          </w:p>
        </w:tc>
        <w:tc>
          <w:tcPr>
            <w:tcW w:w="232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1267E4A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批评教育，责令限期改正</w:t>
            </w:r>
          </w:p>
        </w:tc>
      </w:tr>
    </w:tbl>
    <w:p w14:paraId="4316EF6B">
      <w:pPr>
        <w:rPr>
          <w:vanish/>
          <w:sz w:val="24"/>
          <w:szCs w:val="24"/>
        </w:rPr>
      </w:pPr>
    </w:p>
    <w:tbl>
      <w:tblPr>
        <w:tblStyle w:val="4"/>
        <w:tblW w:w="0" w:type="auto"/>
        <w:tblInd w:w="-270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 w:color="auto" w:fill="auto"/>
        <w:tblLayout w:type="autofit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643"/>
        <w:gridCol w:w="1041"/>
        <w:gridCol w:w="2827"/>
        <w:gridCol w:w="888"/>
        <w:gridCol w:w="1820"/>
        <w:gridCol w:w="1417"/>
      </w:tblGrid>
      <w:tr w14:paraId="68572BBC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84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573A2E7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24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73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4D9DADC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5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违法行为</w:t>
            </w:r>
          </w:p>
        </w:tc>
        <w:tc>
          <w:tcPr>
            <w:tcW w:w="457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CFC5ED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92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法定依据</w:t>
            </w:r>
          </w:p>
        </w:tc>
        <w:tc>
          <w:tcPr>
            <w:tcW w:w="14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3B487112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裁量阶次</w:t>
            </w:r>
          </w:p>
        </w:tc>
        <w:tc>
          <w:tcPr>
            <w:tcW w:w="296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41380181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12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适用条件</w:t>
            </w:r>
          </w:p>
        </w:tc>
        <w:tc>
          <w:tcPr>
            <w:tcW w:w="232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1E86B9E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8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具体标准</w:t>
            </w:r>
          </w:p>
        </w:tc>
      </w:tr>
      <w:tr w14:paraId="5F9A947A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84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3437A4FE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1733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5ADEA939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报告的</w:t>
            </w:r>
          </w:p>
        </w:tc>
        <w:tc>
          <w:tcPr>
            <w:tcW w:w="4576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44AEAC21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炸物品生产企业有下列行为之一的，由省级民爆行业主管部门责令限期改正；逾期不改正的，处 3 万元以下的罚款：（ 一）未按规定提交年度报告的。</w:t>
            </w:r>
          </w:p>
        </w:tc>
        <w:tc>
          <w:tcPr>
            <w:tcW w:w="14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1169089A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96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1B053FC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微并及时改正的</w:t>
            </w:r>
          </w:p>
        </w:tc>
        <w:tc>
          <w:tcPr>
            <w:tcW w:w="232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F7D9D1D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</w:tr>
      <w:tr w14:paraId="38085E8F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84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3E6E280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5</w:t>
            </w:r>
          </w:p>
        </w:tc>
        <w:tc>
          <w:tcPr>
            <w:tcW w:w="1733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5111D063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4576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6A3A4041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D1A4D47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免予处罚</w:t>
            </w:r>
          </w:p>
        </w:tc>
        <w:tc>
          <w:tcPr>
            <w:tcW w:w="296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41469327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首次未按规定提交年度报告的，超过规定时限小于一周情节轻微并及时改正的</w:t>
            </w:r>
          </w:p>
        </w:tc>
        <w:tc>
          <w:tcPr>
            <w:tcW w:w="232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4AD9EE69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1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批评教育，责令限期改正</w:t>
            </w:r>
          </w:p>
        </w:tc>
      </w:tr>
    </w:tbl>
    <w:p w14:paraId="0C70F65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378" w:afterAutospacing="0" w:line="30" w:lineRule="atLeast"/>
        <w:ind w:left="0" w:right="0" w:firstLine="420"/>
        <w:jc w:val="left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  <w:t>表 2 盐业行业行政处罚不予、免予处罚清单</w:t>
      </w:r>
    </w:p>
    <w:tbl>
      <w:tblPr>
        <w:tblStyle w:val="4"/>
        <w:tblW w:w="0" w:type="auto"/>
        <w:tblInd w:w="-270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 w:color="auto" w:fill="auto"/>
        <w:tblLayout w:type="autofit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639"/>
        <w:gridCol w:w="1023"/>
        <w:gridCol w:w="2782"/>
        <w:gridCol w:w="872"/>
        <w:gridCol w:w="1790"/>
        <w:gridCol w:w="1530"/>
      </w:tblGrid>
      <w:tr w14:paraId="655598FD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84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40D0EC0E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24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73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3F2DF7D2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5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违法行为</w:t>
            </w:r>
          </w:p>
        </w:tc>
        <w:tc>
          <w:tcPr>
            <w:tcW w:w="457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5B7057F9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92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法定依据</w:t>
            </w:r>
          </w:p>
        </w:tc>
        <w:tc>
          <w:tcPr>
            <w:tcW w:w="14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1DAA711F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裁量阶次</w:t>
            </w:r>
          </w:p>
        </w:tc>
        <w:tc>
          <w:tcPr>
            <w:tcW w:w="296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27EAD4A0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12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适用条件</w:t>
            </w:r>
          </w:p>
        </w:tc>
        <w:tc>
          <w:tcPr>
            <w:tcW w:w="232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427D19C8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8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具体标准</w:t>
            </w:r>
          </w:p>
        </w:tc>
      </w:tr>
      <w:tr w14:paraId="613F2A9A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84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235879FF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33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64670A4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非食盐定点生产企业生产食盐、非食</w:t>
            </w:r>
          </w:p>
          <w:p w14:paraId="35379303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78" w:afterAutospacing="0" w:line="30" w:lineRule="atLeast"/>
              <w:ind w:left="0" w:right="0" w:firstLine="18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盐定点批发企业经营食盐批发的业务</w:t>
            </w:r>
          </w:p>
        </w:tc>
        <w:tc>
          <w:tcPr>
            <w:tcW w:w="4576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3E4FE7EA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14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《食盐专营办法》（国务院令第 696 号）第二十六条有下列情形之一的，由县级以上地方人民政府盐业主管部门予以取缔，没收违法生产经营的食盐和违法所得。违法生产经营的食盐货值金额不足 1 万元的，可以处 5 万元以下的罚款；货值金额 1 万元以上的，并处货值金额5 倍以上 10 倍以下的罚款。</w:t>
            </w:r>
          </w:p>
        </w:tc>
        <w:tc>
          <w:tcPr>
            <w:tcW w:w="14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5A085913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不予处罚</w:t>
            </w:r>
          </w:p>
        </w:tc>
        <w:tc>
          <w:tcPr>
            <w:tcW w:w="296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74A0C758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非食盐定点生产企业生产食盐、非食盐定点批发企业经营食盐批发业务，没有造成危害后果的，且未取得违法收入，并及时改正的。</w:t>
            </w:r>
          </w:p>
        </w:tc>
        <w:tc>
          <w:tcPr>
            <w:tcW w:w="232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0580E0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8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不予处罚</w:t>
            </w:r>
          </w:p>
        </w:tc>
      </w:tr>
      <w:tr w14:paraId="40F0FCE0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84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77ACB996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2</w:t>
            </w:r>
          </w:p>
        </w:tc>
        <w:tc>
          <w:tcPr>
            <w:tcW w:w="1733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31BB38B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4576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4C900EE6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6E75E90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免予处罚</w:t>
            </w:r>
          </w:p>
        </w:tc>
        <w:tc>
          <w:tcPr>
            <w:tcW w:w="296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47197D1A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非食盐定点生产企业生产食盐、非食盐定点批发企业经营食盐批发业务，初次违法行为轻微，且危害后果轻微，未取得违法收入并及时改正的。</w:t>
            </w:r>
          </w:p>
        </w:tc>
        <w:tc>
          <w:tcPr>
            <w:tcW w:w="232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3B616FB0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26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责令改正，批评教育。</w:t>
            </w:r>
          </w:p>
        </w:tc>
      </w:tr>
      <w:tr w14:paraId="5555E69E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</w:tblPrEx>
        <w:tc>
          <w:tcPr>
            <w:tcW w:w="844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3883DBA6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3</w:t>
            </w:r>
          </w:p>
        </w:tc>
        <w:tc>
          <w:tcPr>
            <w:tcW w:w="1733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6D2052D9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1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食盐定点生产企</w:t>
            </w:r>
          </w:p>
          <w:p w14:paraId="7D35390D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378" w:afterAutospacing="0" w:line="3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业、非食用盐生产企业未按照《食盐专营办法》规定保存生产销售记录，食盐定点批发企业未按照《食盐专营办法》规定保存采</w:t>
            </w:r>
          </w:p>
        </w:tc>
        <w:tc>
          <w:tcPr>
            <w:tcW w:w="4576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5D8C881A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10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《食盐专营办法》（国务院令第 696 号）第二十七条第一款第一项第二项有下列情形之一的，由县级以上地方人民政府盐业主管部门责令改正，处 5000 元以上 5 万元以下的罚款；情节严重的，责令停产停业整顿，直至吊销食盐定点生产、食盐定点批发企业证书：</w:t>
            </w:r>
          </w:p>
        </w:tc>
        <w:tc>
          <w:tcPr>
            <w:tcW w:w="14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6426FC5D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不予处罚</w:t>
            </w:r>
          </w:p>
        </w:tc>
        <w:tc>
          <w:tcPr>
            <w:tcW w:w="296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12BE7FEF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食盐定点生产企业、非食用盐生产企业建立的生产销售记录不全，食盐定点批发企业建立的采购销售记录不全，违法行为轻微，没有造成危害后果且能及时补齐的。</w:t>
            </w:r>
          </w:p>
        </w:tc>
        <w:tc>
          <w:tcPr>
            <w:tcW w:w="232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20518379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80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不予处罚</w:t>
            </w:r>
          </w:p>
        </w:tc>
      </w:tr>
      <w:tr w14:paraId="4ED27F02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844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33F3992C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1733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3F5B3E76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4576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5BD0416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3A47A788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0" w:beforeAutospacing="0" w:after="378" w:afterAutospacing="0" w:line="30" w:lineRule="atLeast"/>
              <w:ind w:left="0" w:right="0" w:firstLine="3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免予处罚</w:t>
            </w:r>
          </w:p>
        </w:tc>
        <w:tc>
          <w:tcPr>
            <w:tcW w:w="2969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38EC0E9E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378" w:afterAutospacing="0" w:line="30" w:lineRule="atLeast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食盐定点生产企业、非食用盐生产企业建立的生产销售记录不全，食盐定点批发企业建立的采购销售记</w:t>
            </w:r>
          </w:p>
        </w:tc>
        <w:tc>
          <w:tcPr>
            <w:tcW w:w="232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 w14:paraId="06CD5A9D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20" w:beforeAutospacing="0" w:after="378" w:afterAutospacing="0" w:line="30" w:lineRule="atLeast"/>
              <w:ind w:left="0" w:right="0" w:firstLine="12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免予处罚，责令改正，及时</w:t>
            </w:r>
          </w:p>
          <w:p w14:paraId="4FA18809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378" w:afterAutospacing="0" w:line="30" w:lineRule="atLeast"/>
              <w:ind w:left="0" w:right="0" w:firstLine="98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补证</w:t>
            </w:r>
          </w:p>
        </w:tc>
      </w:tr>
    </w:tbl>
    <w:p w14:paraId="7A1DF08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600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EC783D"/>
    <w:rsid w:val="52EC783D"/>
    <w:rsid w:val="FB97D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2026-09-11T11:35:00Z</dcterms:created>
  <dc:creator>Dun~བཀྲ༒ཤ་ར་བྷ༒</dc:creator>
  <cp:lastModifiedBy>huawei</cp:lastModifiedBy>
  <dcterms:modified xsi:type="dcterms:W3CDTF">2026-09-11T12:29:41Z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FE22800959A28430B583A36A55A0916D_43</vt:lpwstr>
  </property>
  <property fmtid="{D5CDD505-2E9C-101B-9397-08002B2CF9AE}" pid="4" name="KSOTemplateDocerSaveRecord">
    <vt:lpwstr>eyJoZGlkIjoiNzJhMGE3ODYxOWJiYTBkMTg0YjQ4MzU5MjUyNzdjZGMiLCJ1c2VySWQiOiIxMjY5MjcxMTM3In0=</vt:lpwstr>
  </property>
</Properties>
</file>