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047E">
      <w:pPr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附件1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</w:p>
    <w:p w14:paraId="523A0577">
      <w:pPr>
        <w:jc w:val="center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比选报名表</w:t>
      </w:r>
    </w:p>
    <w:tbl>
      <w:tblPr>
        <w:tblStyle w:val="3"/>
        <w:tblpPr w:leftFromText="180" w:rightFromText="180" w:vertAnchor="text" w:horzAnchor="page" w:tblpX="1753" w:tblpY="66"/>
        <w:tblOverlap w:val="never"/>
        <w:tblW w:w="8848" w:type="dxa"/>
        <w:tblCellSpacing w:w="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34"/>
        <w:gridCol w:w="1236"/>
        <w:gridCol w:w="2929"/>
        <w:gridCol w:w="3149"/>
      </w:tblGrid>
      <w:tr w14:paraId="43A4E06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0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7C73D2AE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比选序号（此项由采购人填写）：</w:t>
            </w:r>
          </w:p>
        </w:tc>
      </w:tr>
      <w:tr w14:paraId="13B1061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0FB360C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比选单位名称：</w:t>
            </w:r>
          </w:p>
        </w:tc>
      </w:tr>
      <w:tr w14:paraId="0AE8B0E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27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5AD5D3C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单位性质：</w:t>
            </w:r>
          </w:p>
        </w:tc>
        <w:tc>
          <w:tcPr>
            <w:tcW w:w="6078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AB1B047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通讯地址：</w:t>
            </w:r>
          </w:p>
        </w:tc>
      </w:tr>
      <w:tr w14:paraId="263F23B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" w:hRule="atLeast"/>
          <w:tblCellSpacing w:w="0" w:type="dxa"/>
        </w:trPr>
        <w:tc>
          <w:tcPr>
            <w:tcW w:w="2770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76FF9C1B">
            <w:pPr>
              <w:pStyle w:val="7"/>
              <w:spacing w:before="225" w:after="225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联系人：</w:t>
            </w:r>
          </w:p>
        </w:tc>
        <w:tc>
          <w:tcPr>
            <w:tcW w:w="292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5DEFCE3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电话：</w:t>
            </w:r>
          </w:p>
        </w:tc>
        <w:tc>
          <w:tcPr>
            <w:tcW w:w="314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3161110F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座机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：</w:t>
            </w:r>
          </w:p>
        </w:tc>
      </w:tr>
      <w:tr w14:paraId="4F5C24F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9" w:hRule="atLeast"/>
          <w:tblCellSpacing w:w="0" w:type="dxa"/>
        </w:trPr>
        <w:tc>
          <w:tcPr>
            <w:tcW w:w="1534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34A4C5B8">
            <w:pPr>
              <w:pStyle w:val="7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比选项目</w:t>
            </w:r>
          </w:p>
        </w:tc>
        <w:tc>
          <w:tcPr>
            <w:tcW w:w="7314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B4F5472">
            <w:pPr>
              <w:pStyle w:val="7"/>
              <w:tabs>
                <w:tab w:val="left" w:pos="2509"/>
                <w:tab w:val="center" w:pos="4269"/>
              </w:tabs>
              <w:spacing w:before="225" w:after="225"/>
              <w:ind w:left="333" w:leftChars="104"/>
              <w:rPr>
                <w:rFonts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拉萨市政务网络升级改造项目设计服务</w:t>
            </w:r>
          </w:p>
        </w:tc>
      </w:tr>
      <w:tr w14:paraId="1E2C829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89" w:hRule="atLeast"/>
          <w:tblCellSpacing w:w="0" w:type="dxa"/>
        </w:trPr>
        <w:tc>
          <w:tcPr>
            <w:tcW w:w="8848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E9346E3">
            <w:pPr>
              <w:pStyle w:val="8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 w14:paraId="6DEECB8C">
            <w:pPr>
              <w:pStyle w:val="8"/>
              <w:spacing w:line="48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  <w:t>比选报名声明</w:t>
            </w:r>
          </w:p>
          <w:p w14:paraId="513E5777">
            <w:pPr>
              <w:pStyle w:val="8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 w14:paraId="30754622">
            <w:pPr>
              <w:pStyle w:val="8"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本单位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eastAsia="zh-CN"/>
              </w:rPr>
              <w:t>郑重声明：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自愿接受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拉萨市经济和信息化局（拉萨市数据管理局）关于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比选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拉萨市政务网络升级改造项目设计服务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的公告》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有关要求，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参与比选工作，并保证所填事项及所提交资料均全部真实、有效。</w:t>
            </w:r>
          </w:p>
          <w:p w14:paraId="5E2D94FC">
            <w:pPr>
              <w:pStyle w:val="7"/>
              <w:spacing w:before="225" w:after="225" w:line="480" w:lineRule="exact"/>
              <w:ind w:firstLine="560" w:firstLineChars="200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</w:p>
          <w:p w14:paraId="4BD1F3F3">
            <w:pPr>
              <w:pStyle w:val="7"/>
              <w:spacing w:before="225" w:after="225" w:line="480" w:lineRule="exact"/>
              <w:ind w:firstLine="560" w:firstLineChars="200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法定代表人签名并加盖单位公章：</w:t>
            </w:r>
          </w:p>
          <w:p w14:paraId="7BF64E7A">
            <w:pPr>
              <w:pStyle w:val="7"/>
              <w:spacing w:before="225" w:after="225"/>
              <w:jc w:val="right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填写日期：年月日</w:t>
            </w:r>
          </w:p>
        </w:tc>
      </w:tr>
    </w:tbl>
    <w:p w14:paraId="60C00C0C">
      <w:pPr>
        <w:jc w:val="center"/>
        <w:rPr>
          <w:rFonts w:hint="eastAsia" w:ascii="方正黑体_GBK" w:hAnsi="方正黑体_GBK" w:eastAsia="方正黑体_GBK" w:cs="方正黑体_GBK"/>
          <w:lang w:eastAsia="zh-CN"/>
        </w:rPr>
      </w:pPr>
    </w:p>
    <w:p w14:paraId="26B1BC34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br w:type="page"/>
      </w:r>
    </w:p>
    <w:p w14:paraId="706F8B45">
      <w:pPr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</w:rPr>
        <w:t>：</w:t>
      </w:r>
    </w:p>
    <w:p w14:paraId="3BA7883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一览表</w:t>
      </w:r>
    </w:p>
    <w:p w14:paraId="294D9E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报价单位全称（盖章）：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775"/>
        <w:gridCol w:w="1713"/>
        <w:gridCol w:w="1485"/>
        <w:gridCol w:w="1622"/>
      </w:tblGrid>
      <w:tr w14:paraId="5A32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924" w:type="dxa"/>
            <w:vAlign w:val="center"/>
          </w:tcPr>
          <w:p w14:paraId="541AD91A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5" w:type="dxa"/>
            <w:vAlign w:val="center"/>
          </w:tcPr>
          <w:p w14:paraId="754F7D3C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1713" w:type="dxa"/>
            <w:vAlign w:val="center"/>
          </w:tcPr>
          <w:p w14:paraId="6D859E2E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最高限价</w:t>
            </w:r>
          </w:p>
        </w:tc>
        <w:tc>
          <w:tcPr>
            <w:tcW w:w="1485" w:type="dxa"/>
            <w:vAlign w:val="center"/>
          </w:tcPr>
          <w:p w14:paraId="54A21F9D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报价（下浮率%）</w:t>
            </w:r>
          </w:p>
        </w:tc>
        <w:tc>
          <w:tcPr>
            <w:tcW w:w="1622" w:type="dxa"/>
            <w:vAlign w:val="center"/>
          </w:tcPr>
          <w:p w14:paraId="5F663D26">
            <w:pPr>
              <w:snapToGrid w:val="0"/>
              <w:jc w:val="center"/>
              <w:rPr>
                <w:rFonts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5BA9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4" w:type="dxa"/>
            <w:vAlign w:val="center"/>
          </w:tcPr>
          <w:p w14:paraId="615877F8">
            <w:pPr>
              <w:snapToGrid w:val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14:paraId="71A01CE1">
            <w:pPr>
              <w:snapToGrid w:val="0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拉萨市政务网络升级改造项目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设计服务</w:t>
            </w:r>
          </w:p>
        </w:tc>
        <w:tc>
          <w:tcPr>
            <w:tcW w:w="1713" w:type="dxa"/>
            <w:vAlign w:val="center"/>
          </w:tcPr>
          <w:p w14:paraId="514E522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以概算批复为准</w:t>
            </w:r>
          </w:p>
        </w:tc>
        <w:tc>
          <w:tcPr>
            <w:tcW w:w="1485" w:type="dxa"/>
            <w:vAlign w:val="center"/>
          </w:tcPr>
          <w:p w14:paraId="7E5B5643">
            <w:pPr>
              <w:snapToGrid w:val="0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××%</w:t>
            </w:r>
          </w:p>
        </w:tc>
        <w:tc>
          <w:tcPr>
            <w:tcW w:w="1622" w:type="dxa"/>
            <w:vAlign w:val="center"/>
          </w:tcPr>
          <w:p w14:paraId="53EDB4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131E7451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异常低价说明：</w:t>
      </w:r>
    </w:p>
    <w:p w14:paraId="1D31BFA9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1.投标人报价</w:t>
      </w:r>
      <w:r>
        <w:rPr>
          <w:rFonts w:hint="eastAsia"/>
          <w:color w:val="auto"/>
          <w:sz w:val="28"/>
          <w:szCs w:val="28"/>
          <w:lang w:eastAsia="zh-CN"/>
        </w:rPr>
        <w:t>低于采购项目最高</w:t>
      </w:r>
      <w:r>
        <w:rPr>
          <w:rFonts w:hint="eastAsia"/>
          <w:color w:val="auto"/>
          <w:sz w:val="28"/>
          <w:szCs w:val="28"/>
          <w:lang w:val="en-US" w:eastAsia="zh-CN"/>
        </w:rPr>
        <w:t>限价</w:t>
      </w:r>
      <w:r>
        <w:rPr>
          <w:rFonts w:hint="eastAsia"/>
          <w:color w:val="auto"/>
          <w:sz w:val="28"/>
          <w:szCs w:val="28"/>
          <w:lang w:eastAsia="zh-CN"/>
        </w:rPr>
        <w:t>45%</w:t>
      </w:r>
      <w:r>
        <w:rPr>
          <w:rFonts w:hint="eastAsia"/>
          <w:color w:val="auto"/>
          <w:sz w:val="28"/>
          <w:szCs w:val="28"/>
          <w:lang w:val="en-US" w:eastAsia="zh-CN"/>
        </w:rPr>
        <w:t>的，须在本“报价一览表”后的“报价合理性说明材料”中提供</w:t>
      </w:r>
      <w:r>
        <w:rPr>
          <w:rFonts w:hint="eastAsia"/>
          <w:color w:val="auto"/>
          <w:sz w:val="28"/>
          <w:szCs w:val="28"/>
          <w:lang w:eastAsia="zh-CN"/>
        </w:rPr>
        <w:t>项目具体成本</w:t>
      </w:r>
      <w:r>
        <w:rPr>
          <w:rFonts w:hint="eastAsia"/>
          <w:color w:val="auto"/>
          <w:sz w:val="28"/>
          <w:szCs w:val="28"/>
          <w:lang w:val="en-US" w:eastAsia="zh-CN"/>
        </w:rPr>
        <w:t>测算</w:t>
      </w:r>
      <w:r>
        <w:rPr>
          <w:rFonts w:hint="eastAsia"/>
          <w:color w:val="auto"/>
          <w:sz w:val="28"/>
          <w:szCs w:val="28"/>
          <w:lang w:eastAsia="zh-CN"/>
        </w:rPr>
        <w:t>、报价</w:t>
      </w:r>
      <w:r>
        <w:rPr>
          <w:rFonts w:hint="eastAsia"/>
          <w:color w:val="auto"/>
          <w:sz w:val="28"/>
          <w:szCs w:val="28"/>
          <w:lang w:val="en-US" w:eastAsia="zh-CN"/>
        </w:rPr>
        <w:t>合理</w:t>
      </w:r>
      <w:r>
        <w:rPr>
          <w:rFonts w:hint="eastAsia"/>
          <w:color w:val="auto"/>
          <w:sz w:val="28"/>
          <w:szCs w:val="28"/>
          <w:lang w:eastAsia="zh-CN"/>
        </w:rPr>
        <w:t>性书面说明及必要证明</w:t>
      </w:r>
      <w:r>
        <w:rPr>
          <w:rFonts w:hint="eastAsia"/>
          <w:color w:val="auto"/>
          <w:sz w:val="28"/>
          <w:szCs w:val="28"/>
          <w:lang w:val="en-US" w:eastAsia="zh-CN"/>
        </w:rPr>
        <w:t>材料，</w:t>
      </w:r>
      <w:r>
        <w:rPr>
          <w:rFonts w:hint="eastAsia"/>
          <w:color w:val="auto"/>
          <w:sz w:val="28"/>
          <w:szCs w:val="28"/>
          <w:lang w:eastAsia="zh-CN"/>
        </w:rPr>
        <w:t>如果</w:t>
      </w:r>
      <w:r>
        <w:rPr>
          <w:rFonts w:hint="eastAsia"/>
          <w:color w:val="auto"/>
          <w:sz w:val="28"/>
          <w:szCs w:val="28"/>
          <w:lang w:val="en-US" w:eastAsia="zh-CN"/>
        </w:rPr>
        <w:t>投标人未</w:t>
      </w:r>
      <w:r>
        <w:rPr>
          <w:rFonts w:hint="eastAsia"/>
          <w:color w:val="auto"/>
          <w:sz w:val="28"/>
          <w:szCs w:val="28"/>
          <w:lang w:eastAsia="zh-CN"/>
        </w:rPr>
        <w:t>提供书面说明</w:t>
      </w:r>
      <w:r>
        <w:rPr>
          <w:rFonts w:hint="eastAsia"/>
          <w:color w:val="auto"/>
          <w:sz w:val="28"/>
          <w:szCs w:val="28"/>
          <w:lang w:val="en-US" w:eastAsia="zh-CN"/>
        </w:rPr>
        <w:t>及佐证</w:t>
      </w:r>
      <w:r>
        <w:rPr>
          <w:rFonts w:hint="eastAsia"/>
          <w:color w:val="auto"/>
          <w:sz w:val="28"/>
          <w:szCs w:val="28"/>
          <w:lang w:eastAsia="zh-CN"/>
        </w:rPr>
        <w:t>材料，或</w:t>
      </w:r>
      <w:r>
        <w:rPr>
          <w:rFonts w:hint="eastAsia"/>
          <w:color w:val="auto"/>
          <w:sz w:val="28"/>
          <w:szCs w:val="28"/>
          <w:lang w:val="en-US" w:eastAsia="zh-CN"/>
        </w:rPr>
        <w:t>提交</w:t>
      </w:r>
      <w:r>
        <w:rPr>
          <w:rFonts w:hint="eastAsia"/>
          <w:color w:val="auto"/>
          <w:sz w:val="28"/>
          <w:szCs w:val="28"/>
          <w:lang w:eastAsia="zh-CN"/>
        </w:rPr>
        <w:t>材料</w:t>
      </w:r>
      <w:r>
        <w:rPr>
          <w:rFonts w:hint="eastAsia"/>
          <w:color w:val="auto"/>
          <w:sz w:val="28"/>
          <w:szCs w:val="28"/>
          <w:lang w:val="en-US" w:eastAsia="zh-CN"/>
        </w:rPr>
        <w:t>无法</w:t>
      </w:r>
      <w:r>
        <w:rPr>
          <w:rFonts w:hint="eastAsia"/>
          <w:color w:val="auto"/>
          <w:sz w:val="28"/>
          <w:szCs w:val="28"/>
          <w:lang w:eastAsia="zh-CN"/>
        </w:rPr>
        <w:t>证明其报价合理性的，</w:t>
      </w:r>
      <w:r>
        <w:rPr>
          <w:rFonts w:hint="eastAsia"/>
          <w:color w:val="auto"/>
          <w:sz w:val="28"/>
          <w:szCs w:val="28"/>
          <w:lang w:val="en-US" w:eastAsia="zh-CN"/>
        </w:rPr>
        <w:t>将</w:t>
      </w:r>
      <w:r>
        <w:rPr>
          <w:rFonts w:hint="eastAsia"/>
          <w:color w:val="auto"/>
          <w:sz w:val="28"/>
          <w:szCs w:val="28"/>
          <w:lang w:eastAsia="zh-CN"/>
        </w:rPr>
        <w:t>作为无效投标处理。</w:t>
      </w:r>
    </w:p>
    <w:p w14:paraId="4AAA0E9C"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2.投标人</w:t>
      </w:r>
      <w:r>
        <w:rPr>
          <w:rFonts w:hint="eastAsia"/>
          <w:color w:val="auto"/>
          <w:sz w:val="28"/>
          <w:szCs w:val="28"/>
          <w:lang w:eastAsia="zh-CN"/>
        </w:rPr>
        <w:t>报价</w:t>
      </w:r>
      <w:r>
        <w:rPr>
          <w:rFonts w:hint="eastAsia"/>
          <w:color w:val="auto"/>
          <w:sz w:val="28"/>
          <w:szCs w:val="28"/>
          <w:lang w:val="en-US" w:eastAsia="zh-CN"/>
        </w:rPr>
        <w:t>低于全部有效投标人</w:t>
      </w:r>
      <w:r>
        <w:rPr>
          <w:rFonts w:hint="eastAsia"/>
          <w:color w:val="auto"/>
          <w:sz w:val="28"/>
          <w:szCs w:val="28"/>
          <w:lang w:eastAsia="zh-CN"/>
        </w:rPr>
        <w:t>报价平均值</w:t>
      </w:r>
      <w:r>
        <w:rPr>
          <w:rFonts w:hint="eastAsia"/>
          <w:color w:val="auto"/>
          <w:sz w:val="28"/>
          <w:szCs w:val="28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  <w:lang w:eastAsia="zh-CN"/>
        </w:rPr>
        <w:t>50%、低于</w:t>
      </w:r>
      <w:r>
        <w:rPr>
          <w:rFonts w:hint="eastAsia"/>
          <w:color w:val="auto"/>
          <w:sz w:val="28"/>
          <w:szCs w:val="28"/>
          <w:lang w:val="en-US" w:eastAsia="zh-CN"/>
        </w:rPr>
        <w:t>有效投标人中次低</w:t>
      </w:r>
      <w:r>
        <w:rPr>
          <w:rFonts w:hint="eastAsia"/>
          <w:color w:val="auto"/>
          <w:sz w:val="28"/>
          <w:szCs w:val="28"/>
          <w:lang w:eastAsia="zh-CN"/>
        </w:rPr>
        <w:t>报价</w:t>
      </w:r>
      <w:r>
        <w:rPr>
          <w:rFonts w:hint="eastAsia"/>
          <w:color w:val="auto"/>
          <w:sz w:val="28"/>
          <w:szCs w:val="28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  <w:lang w:eastAsia="zh-CN"/>
        </w:rPr>
        <w:t>50%</w:t>
      </w:r>
      <w:r>
        <w:rPr>
          <w:rFonts w:hint="eastAsia"/>
          <w:color w:val="auto"/>
          <w:sz w:val="28"/>
          <w:szCs w:val="28"/>
          <w:lang w:val="en-US" w:eastAsia="zh-CN"/>
        </w:rPr>
        <w:t>，或</w:t>
      </w:r>
      <w:r>
        <w:rPr>
          <w:rFonts w:hint="eastAsia"/>
          <w:color w:val="auto"/>
          <w:sz w:val="28"/>
          <w:szCs w:val="28"/>
          <w:lang w:eastAsia="zh-CN"/>
        </w:rPr>
        <w:t>评审委员会认为</w:t>
      </w:r>
      <w:r>
        <w:rPr>
          <w:rFonts w:hint="eastAsia"/>
          <w:color w:val="auto"/>
          <w:sz w:val="28"/>
          <w:szCs w:val="28"/>
          <w:lang w:val="en-US" w:eastAsia="zh-CN"/>
        </w:rPr>
        <w:t>投标人</w:t>
      </w:r>
      <w:r>
        <w:rPr>
          <w:rFonts w:hint="eastAsia"/>
          <w:color w:val="auto"/>
          <w:sz w:val="28"/>
          <w:szCs w:val="28"/>
          <w:lang w:eastAsia="zh-CN"/>
        </w:rPr>
        <w:t>报价过低</w:t>
      </w:r>
      <w:r>
        <w:rPr>
          <w:rFonts w:hint="eastAsia"/>
          <w:color w:val="auto"/>
          <w:sz w:val="28"/>
          <w:szCs w:val="28"/>
          <w:lang w:val="en-US" w:eastAsia="zh-CN"/>
        </w:rPr>
        <w:t>可</w:t>
      </w:r>
      <w:r>
        <w:rPr>
          <w:rFonts w:hint="eastAsia"/>
          <w:color w:val="auto"/>
          <w:sz w:val="28"/>
          <w:szCs w:val="28"/>
          <w:lang w:eastAsia="zh-CN"/>
        </w:rPr>
        <w:t>能影响</w:t>
      </w:r>
      <w:r>
        <w:rPr>
          <w:rFonts w:hint="eastAsia"/>
          <w:color w:val="auto"/>
          <w:sz w:val="28"/>
          <w:szCs w:val="28"/>
          <w:lang w:val="en-US" w:eastAsia="zh-CN"/>
        </w:rPr>
        <w:t>产品</w:t>
      </w:r>
      <w:r>
        <w:rPr>
          <w:rFonts w:hint="eastAsia"/>
          <w:color w:val="auto"/>
          <w:sz w:val="28"/>
          <w:szCs w:val="28"/>
          <w:lang w:eastAsia="zh-CN"/>
        </w:rPr>
        <w:t>质量、不能诚信</w:t>
      </w:r>
      <w:r>
        <w:rPr>
          <w:rFonts w:hint="eastAsia"/>
          <w:color w:val="auto"/>
          <w:sz w:val="28"/>
          <w:szCs w:val="28"/>
          <w:lang w:val="en-US" w:eastAsia="zh-CN"/>
        </w:rPr>
        <w:t>履约</w:t>
      </w:r>
      <w:r>
        <w:rPr>
          <w:rFonts w:hint="eastAsia"/>
          <w:color w:val="auto"/>
          <w:sz w:val="28"/>
          <w:szCs w:val="28"/>
          <w:lang w:eastAsia="zh-CN"/>
        </w:rPr>
        <w:t>等</w:t>
      </w:r>
      <w:r>
        <w:rPr>
          <w:rFonts w:hint="eastAsia"/>
          <w:color w:val="auto"/>
          <w:sz w:val="28"/>
          <w:szCs w:val="28"/>
          <w:lang w:val="en-US" w:eastAsia="zh-CN"/>
        </w:rPr>
        <w:t>情形</w:t>
      </w:r>
      <w:r>
        <w:rPr>
          <w:rFonts w:hint="eastAsia"/>
          <w:color w:val="auto"/>
          <w:sz w:val="28"/>
          <w:szCs w:val="28"/>
          <w:lang w:eastAsia="zh-CN"/>
        </w:rPr>
        <w:t>的，</w:t>
      </w:r>
      <w:r>
        <w:rPr>
          <w:rFonts w:hint="eastAsia"/>
          <w:color w:val="auto"/>
          <w:sz w:val="28"/>
          <w:szCs w:val="28"/>
          <w:lang w:val="en-US" w:eastAsia="zh-CN"/>
        </w:rPr>
        <w:t>投标人须在接到通知之时起2小时内</w:t>
      </w:r>
      <w:r>
        <w:rPr>
          <w:rFonts w:hint="eastAsia"/>
          <w:color w:val="auto"/>
          <w:sz w:val="28"/>
          <w:szCs w:val="28"/>
          <w:lang w:eastAsia="zh-CN"/>
        </w:rPr>
        <w:t>提供</w:t>
      </w:r>
      <w:r>
        <w:rPr>
          <w:rFonts w:hint="eastAsia"/>
          <w:color w:val="auto"/>
          <w:sz w:val="28"/>
          <w:szCs w:val="28"/>
          <w:lang w:val="en-US" w:eastAsia="zh-CN"/>
        </w:rPr>
        <w:t>本</w:t>
      </w:r>
      <w:r>
        <w:rPr>
          <w:rFonts w:hint="eastAsia"/>
          <w:color w:val="auto"/>
          <w:sz w:val="28"/>
          <w:szCs w:val="28"/>
          <w:lang w:eastAsia="zh-CN"/>
        </w:rPr>
        <w:t>项目具体成本测算、报价</w:t>
      </w:r>
      <w:r>
        <w:rPr>
          <w:rFonts w:hint="eastAsia"/>
          <w:color w:val="auto"/>
          <w:sz w:val="28"/>
          <w:szCs w:val="28"/>
          <w:lang w:val="en-US" w:eastAsia="zh-CN"/>
        </w:rPr>
        <w:t>合理</w:t>
      </w:r>
      <w:r>
        <w:rPr>
          <w:rFonts w:hint="eastAsia"/>
          <w:color w:val="auto"/>
          <w:sz w:val="28"/>
          <w:szCs w:val="28"/>
          <w:lang w:eastAsia="zh-CN"/>
        </w:rPr>
        <w:t>性书面说明及必要证明</w:t>
      </w:r>
      <w:r>
        <w:rPr>
          <w:rFonts w:hint="eastAsia"/>
          <w:color w:val="auto"/>
          <w:sz w:val="28"/>
          <w:szCs w:val="28"/>
          <w:lang w:val="en-US" w:eastAsia="zh-CN"/>
        </w:rPr>
        <w:t>材料，投标人逾期未能提交上述材料</w:t>
      </w:r>
      <w:r>
        <w:rPr>
          <w:rFonts w:hint="eastAsia"/>
          <w:color w:val="auto"/>
          <w:sz w:val="28"/>
          <w:szCs w:val="28"/>
          <w:lang w:eastAsia="zh-CN"/>
        </w:rPr>
        <w:t>，或</w:t>
      </w:r>
      <w:r>
        <w:rPr>
          <w:rFonts w:hint="eastAsia"/>
          <w:color w:val="auto"/>
          <w:sz w:val="28"/>
          <w:szCs w:val="28"/>
          <w:lang w:val="en-US" w:eastAsia="zh-CN"/>
        </w:rPr>
        <w:t>提交</w:t>
      </w:r>
      <w:r>
        <w:rPr>
          <w:rFonts w:hint="eastAsia"/>
          <w:color w:val="auto"/>
          <w:sz w:val="28"/>
          <w:szCs w:val="28"/>
          <w:lang w:eastAsia="zh-CN"/>
        </w:rPr>
        <w:t>材料</w:t>
      </w:r>
      <w:r>
        <w:rPr>
          <w:rFonts w:hint="eastAsia"/>
          <w:color w:val="auto"/>
          <w:sz w:val="28"/>
          <w:szCs w:val="28"/>
          <w:lang w:val="en-US" w:eastAsia="zh-CN"/>
        </w:rPr>
        <w:t>无法</w:t>
      </w:r>
      <w:r>
        <w:rPr>
          <w:rFonts w:hint="eastAsia"/>
          <w:color w:val="auto"/>
          <w:sz w:val="28"/>
          <w:szCs w:val="28"/>
          <w:lang w:eastAsia="zh-CN"/>
        </w:rPr>
        <w:t>证明其报价合理性的，</w:t>
      </w:r>
      <w:r>
        <w:rPr>
          <w:rFonts w:hint="eastAsia"/>
          <w:color w:val="auto"/>
          <w:sz w:val="28"/>
          <w:szCs w:val="28"/>
          <w:lang w:val="en-US" w:eastAsia="zh-CN"/>
        </w:rPr>
        <w:t>将</w:t>
      </w:r>
      <w:r>
        <w:rPr>
          <w:rFonts w:hint="eastAsia"/>
          <w:color w:val="auto"/>
          <w:sz w:val="28"/>
          <w:szCs w:val="28"/>
          <w:lang w:eastAsia="zh-CN"/>
        </w:rPr>
        <w:t>作为无效投标处理。</w:t>
      </w:r>
    </w:p>
    <w:p w14:paraId="047B7CF9">
      <w:pPr>
        <w:rPr>
          <w:rFonts w:hint="eastAsia"/>
          <w:color w:val="auto"/>
          <w:sz w:val="28"/>
          <w:szCs w:val="28"/>
          <w:lang w:eastAsia="zh-CN"/>
        </w:rPr>
      </w:pPr>
    </w:p>
    <w:p w14:paraId="4E6A9CC1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4C8163C9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4B83AAB2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7A3F7A2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报价合理性说明材料</w:t>
      </w:r>
    </w:p>
    <w:p w14:paraId="3E0E6C75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22619E1F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（低于采购项目最高限价45%时提供）</w:t>
      </w:r>
    </w:p>
    <w:p w14:paraId="256CF378">
      <w:pPr>
        <w:rPr>
          <w:rFonts w:hint="eastAsia"/>
          <w:color w:val="auto"/>
          <w:sz w:val="28"/>
          <w:szCs w:val="28"/>
          <w:lang w:eastAsia="zh-CN"/>
        </w:rPr>
      </w:pPr>
    </w:p>
    <w:p w14:paraId="26868330">
      <w:pPr>
        <w:rPr>
          <w:rFonts w:hint="eastAsia"/>
          <w:color w:val="auto"/>
          <w:sz w:val="28"/>
          <w:szCs w:val="28"/>
          <w:lang w:eastAsia="zh-CN"/>
        </w:rPr>
      </w:pPr>
    </w:p>
    <w:p w14:paraId="7C54082F">
      <w:pPr>
        <w:rPr>
          <w:rFonts w:hint="eastAsia"/>
          <w:color w:val="auto"/>
          <w:sz w:val="28"/>
          <w:szCs w:val="28"/>
          <w:lang w:eastAsia="zh-CN"/>
        </w:rPr>
      </w:pPr>
    </w:p>
    <w:p w14:paraId="09F4C943">
      <w:pPr>
        <w:rPr>
          <w:color w:val="auto"/>
          <w:sz w:val="28"/>
          <w:szCs w:val="28"/>
        </w:rPr>
      </w:pPr>
    </w:p>
    <w:p w14:paraId="04D2387E">
      <w:pPr>
        <w:rPr>
          <w:color w:val="auto"/>
          <w:sz w:val="28"/>
          <w:szCs w:val="28"/>
        </w:rPr>
      </w:pPr>
    </w:p>
    <w:p w14:paraId="6130D5B3">
      <w:pPr>
        <w:rPr>
          <w:color w:val="auto"/>
          <w:sz w:val="28"/>
          <w:szCs w:val="28"/>
        </w:rPr>
      </w:pPr>
    </w:p>
    <w:p w14:paraId="030AEAFA">
      <w:pPr>
        <w:rPr>
          <w:color w:val="auto"/>
        </w:rPr>
      </w:pPr>
      <w:r>
        <w:rPr>
          <w:color w:val="auto"/>
        </w:rPr>
        <w:br w:type="page"/>
      </w:r>
    </w:p>
    <w:p w14:paraId="33436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auto"/>
        </w:rPr>
        <w:t>：</w:t>
      </w: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 xml:space="preserve">            </w:t>
      </w:r>
    </w:p>
    <w:p w14:paraId="0C8AF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评分标准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664"/>
        <w:gridCol w:w="484"/>
        <w:gridCol w:w="6921"/>
      </w:tblGrid>
      <w:tr w14:paraId="6063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D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评分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C7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A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97" w:firstLineChars="900"/>
              <w:jc w:val="both"/>
              <w:textAlignment w:val="auto"/>
              <w:rPr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评分内容与标准</w:t>
            </w:r>
          </w:p>
        </w:tc>
      </w:tr>
      <w:tr w14:paraId="4723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B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5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D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B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以满足比选文件实质性要求的</w:t>
            </w:r>
            <w:r>
              <w:rPr>
                <w:rStyle w:val="6"/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最低报价</w:t>
            </w:r>
            <w:r>
              <w:rPr>
                <w:rStyle w:val="6"/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为评标基准价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，基准价得满分15分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其他投标人得分计算公式：报价得分=（评标基准价÷投标人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报价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）×15</w:t>
            </w:r>
          </w:p>
        </w:tc>
      </w:tr>
      <w:tr w14:paraId="08B0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8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7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C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D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3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针对本项目实际需求提供完整的服务方案，包含项目需求理解与总体设计、网络安全体系设计、实施与质量保障、概预算编制四大核心内容，按以下分级标准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进行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打分：</w:t>
            </w:r>
          </w:p>
          <w:p w14:paraId="0CE0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较好（31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：完全理解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建设定位、合规要求、业务需求，总体设计贴合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本市政务网络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实际，完全符合国家政务网络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技术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规范；安全设计满足等保2.0及政务网络安全要求，边界防护、访问控制、数据安全等内容完整；进度计划贴合审批时限，质量管控、审批配合措施完善；概预算编制合规，完全满足审批要求，整体方案针对性强、可落地性高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5D1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好（26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：整体理解项目需求，方案内容完整合规，无重大缺陷，基本满足项目全部要求；</w:t>
            </w:r>
          </w:p>
          <w:p w14:paraId="0229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一般（21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分）：需求理解有偏差，方案存在明显合规性、合理性缺陷，仅部分满足项目要求；</w:t>
            </w:r>
          </w:p>
          <w:p w14:paraId="32BD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较差（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0-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：未提供技术方案，或核心内容严重缺失、不符合项目需求。</w:t>
            </w:r>
          </w:p>
        </w:tc>
      </w:tr>
      <w:tr w14:paraId="3D60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F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B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商务部分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F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E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1.拟派项目负责人（项目经理）（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分）：</w:t>
            </w:r>
          </w:p>
          <w:p w14:paraId="3BF9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①具有通信/电子信息相关专业高级工程师得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分；②具有注册咨询工程师（投资）（电子、信息工程专业）执业资格得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分；③近3年作为项目负责人，承担过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类似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个及以上得6分。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注：需提供相关证书，拟派项目负责人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为投标单位在职人员，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提供社保证明。</w:t>
            </w:r>
          </w:p>
          <w:p w14:paraId="6196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.项目团队成员（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分）：</w:t>
            </w:r>
          </w:p>
          <w:p w14:paraId="75FD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①配齐情况(6分):除项目负责人外，团队配齐通信设计、概预算编制、网络安全3个核心专业岗位(每个岗位至少配备 1人)的，得6分，每缺 1个岗位扣2分。②人员情况(9分):每配备 1名中级工程师(须提供证书)的得2分，配备1名高级工程师(须提供证书)的得3分，本项最高得9分。</w:t>
            </w:r>
          </w:p>
        </w:tc>
      </w:tr>
      <w:tr w14:paraId="2D3A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D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A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履约业绩与服务能力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5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E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.同类项目业绩（12分）：近3年（投标截止日倒算）已完成的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类似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业绩，每提供1个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有效业绩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得4分，最高12分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有效业绩需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提供合同关键页及以下任一证明文件：①项目立项批复文件；②初步设计及概算批复文件；③项目验收证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明文件。</w:t>
            </w:r>
          </w:p>
          <w:p w14:paraId="3333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.服务能力（3分）：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在响应文件的“投标人认为需要提供的其他资料”中，提供关于中标后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能保障7×24小时应急响应、2小时内现场对接的得3分，未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提供承诺的</w:t>
            </w:r>
            <w:r>
              <w:rPr>
                <w:rFonts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不得分。</w:t>
            </w:r>
          </w:p>
        </w:tc>
      </w:tr>
    </w:tbl>
    <w:p w14:paraId="0D2C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A5D06"/>
    <w:rsid w:val="17AA5D06"/>
    <w:rsid w:val="59E57F45"/>
    <w:rsid w:val="7C4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New New New New New"/>
    <w:qFormat/>
    <w:uiPriority w:val="0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</Words>
  <Characters>266</Characters>
  <Lines>0</Lines>
  <Paragraphs>0</Paragraphs>
  <TotalTime>1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2026-05-13T05:29:00Z</dcterms:created>
  <dc:creator>FERNWEH</dc:creator>
  <cp:lastModifiedBy>FERNWEH</cp:lastModifiedBy>
  <dcterms:modified xsi:type="dcterms:W3CDTF">2026-05-21T11:18:28Z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8576D9FDC3F54D93A75DAEED5E6FBA38_11</vt:lpwstr>
  </property>
  <property fmtid="{D5CDD505-2E9C-101B-9397-08002B2CF9AE}" pid="4" name="KSOTemplateDocerSaveRecord">
    <vt:lpwstr>eyJoZGlkIjoiOThiZGVkOGI2MTBiMzk4M2Q5M2E4ODgzYmIyMzBlNzgiLCJ1c2VySWQiOiIyNjEwOTk3ODgifQ==</vt:lpwstr>
  </property>
</Properties>
</file>