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C2F43">
      <w:pPr>
        <w:spacing w:line="576" w:lineRule="exact"/>
        <w:rPr>
          <w:rFonts w:hint="eastAsia" w:ascii="方正黑体_GBK" w:hAnsi="方正黑体_GBK" w:eastAsia="方正黑体_GBK" w:cs="方正黑体_GBK"/>
          <w:color w:val="auto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 xml:space="preserve">3   </w:t>
      </w:r>
      <w:r>
        <w:rPr>
          <w:rFonts w:hint="eastAsia" w:ascii="方正黑体_GBK" w:hAnsi="方正黑体_GBK" w:eastAsia="方正黑体_GBK" w:cs="方正黑体_GBK"/>
          <w:color w:val="auto"/>
          <w:lang w:val="en-US" w:eastAsia="zh-CN"/>
        </w:rPr>
        <w:t xml:space="preserve">       </w:t>
      </w:r>
    </w:p>
    <w:p w14:paraId="1D88E6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评分标准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1"/>
        <w:gridCol w:w="728"/>
        <w:gridCol w:w="868"/>
        <w:gridCol w:w="6469"/>
      </w:tblGrid>
      <w:tr w14:paraId="108E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tblHeader/>
          <w:jc w:val="center"/>
        </w:trPr>
        <w:tc>
          <w:tcPr>
            <w:tcW w:w="457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0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5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F3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评分项</w:t>
            </w:r>
          </w:p>
        </w:tc>
        <w:tc>
          <w:tcPr>
            <w:tcW w:w="50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3A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683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62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168" w:firstLineChars="900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评分内容与标准</w:t>
            </w:r>
          </w:p>
        </w:tc>
      </w:tr>
      <w:tr w14:paraId="42B78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9" w:hRule="atLeast"/>
          <w:jc w:val="center"/>
        </w:trPr>
        <w:tc>
          <w:tcPr>
            <w:tcW w:w="457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80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5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1F9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报价部分</w:t>
            </w:r>
          </w:p>
        </w:tc>
        <w:tc>
          <w:tcPr>
            <w:tcW w:w="50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898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15分</w:t>
            </w:r>
          </w:p>
        </w:tc>
        <w:tc>
          <w:tcPr>
            <w:tcW w:w="683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B5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以满足比选文件实质性要求的</w:t>
            </w:r>
            <w:r>
              <w:rPr>
                <w:rStyle w:val="6"/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最低报价为评标基准价</w:t>
            </w: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，基准价得满分15分。其他投标人得分计算公式：报价得分=（评标基准价÷投标人报价）×15</w:t>
            </w:r>
          </w:p>
        </w:tc>
      </w:tr>
      <w:tr w14:paraId="48E8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8" w:hRule="atLeast"/>
          <w:jc w:val="center"/>
        </w:trPr>
        <w:tc>
          <w:tcPr>
            <w:tcW w:w="457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33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5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D8F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技术部分</w:t>
            </w:r>
          </w:p>
        </w:tc>
        <w:tc>
          <w:tcPr>
            <w:tcW w:w="50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F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35分</w:t>
            </w:r>
          </w:p>
        </w:tc>
        <w:tc>
          <w:tcPr>
            <w:tcW w:w="683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485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针对本项目实际需求提供完整的服务方案，包含项目需求理解与总体设计、平台功能与系统架构设计、安全保障体系设计、实施与质量保障、概预算编制等核心内容，按以下分级标准进行打分：</w:t>
            </w:r>
          </w:p>
          <w:p w14:paraId="638CE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较好（31-35分）：完全理解项目建设定位、合规要求及全市机关单位办公协同业务需求，总体设计贴合本市“一网协同”实际，完全符合政务信息化建设规范；平台功能设计完整（涵盖“拉政办”协同办公平台、基础底座、总门户、共性应用、电子公文库、智能组件、文档协同服务平台、内部事项一次办平台、建运管一体化平台等各子系统及运营中心），系统架构合理、技术路线可行；安全设计满足等保2.0及政务信息系统安全要求，数据安全、访问控制等内容完整；进度计划贴合审批时限，质量管控、审批配合措施完善；概预算编制合规，完全满足审批要求，整体方案针对性强、可落地性高。</w:t>
            </w:r>
          </w:p>
          <w:p w14:paraId="00493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2.好（26-30分）：整体理解项目需求，方案内容完整合规，无重大缺陷，基本满足项目全部要求；</w:t>
            </w:r>
          </w:p>
          <w:p w14:paraId="72877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3.一般（21-25分）：需求理解有偏差，方案存在明显合规性、合理性缺陷，仅部分满足项目要求；</w:t>
            </w:r>
          </w:p>
          <w:p w14:paraId="5B632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4.较差（0-20分）：未提供技术方案，或核心内容严重缺失、不符合项目需求。</w:t>
            </w:r>
          </w:p>
        </w:tc>
      </w:tr>
      <w:tr w14:paraId="6998A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8" w:hRule="atLeast"/>
          <w:jc w:val="center"/>
        </w:trPr>
        <w:tc>
          <w:tcPr>
            <w:tcW w:w="457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B5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75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ACE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商务部分</w:t>
            </w:r>
          </w:p>
        </w:tc>
        <w:tc>
          <w:tcPr>
            <w:tcW w:w="50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B3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35分</w:t>
            </w:r>
          </w:p>
        </w:tc>
        <w:tc>
          <w:tcPr>
            <w:tcW w:w="683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20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1.拟派项目负责人（项目经理）（20分）：</w:t>
            </w:r>
          </w:p>
          <w:p w14:paraId="16611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①具有通信/电子信息/计算机相关专业高级工程师得8分；②具有注册咨询工程师（投资）（电子、信息工程专业）执业资格得6分；③近3年作为项目负责人，承担过类似项目1个及以上得6分。注：需提供相关证书，拟派项目负责人为投标单位在职人员，提供社保证明。</w:t>
            </w:r>
          </w:p>
          <w:p w14:paraId="5D5E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2.项目团队成员（15分）：</w:t>
            </w:r>
          </w:p>
          <w:p w14:paraId="1D220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①配齐情况(6分):除项目负责人外，团队配齐软件系统设计、概预算编制、网络安全3个核心专业岗位(每个岗位至少配备 1人)的，得6分，每缺 1个岗位扣2分。②人员情况(9分):每配备 1名中级工程师(须提供证书)的得2分，配备1名高级工程师(须提供证书)的得3分，本项最高得9分。</w:t>
            </w:r>
          </w:p>
        </w:tc>
      </w:tr>
      <w:tr w14:paraId="36BF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1" w:hRule="atLeast"/>
          <w:jc w:val="center"/>
        </w:trPr>
        <w:tc>
          <w:tcPr>
            <w:tcW w:w="457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2C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75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D0F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履约业绩与服务能力</w:t>
            </w:r>
          </w:p>
        </w:tc>
        <w:tc>
          <w:tcPr>
            <w:tcW w:w="50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4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15分</w:t>
            </w:r>
          </w:p>
        </w:tc>
        <w:tc>
          <w:tcPr>
            <w:tcW w:w="6831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5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1.同类项目业绩（12分）：近3年（投标截止日倒算）已完成的类似业绩，每提供1个有效业绩得4分，最高12分。有效业绩需提供合同关键页及以下任一证明文件：①项目立项批复文件；②初步设计及概算批复文件；③项目验收证明文件。</w:t>
            </w:r>
          </w:p>
          <w:p w14:paraId="5DDD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2.服务能力（3分）：在响应文件的“投标人认为需要提供的其他资料”中，提供关于中标后能保障7×24小时应急响应、2小时内现场对接的得3分，未提供承诺的不得分。</w:t>
            </w:r>
          </w:p>
        </w:tc>
      </w:tr>
    </w:tbl>
    <w:p w14:paraId="7F3BF6A0">
      <w:bookmarkStart w:id="0" w:name="_GoBack"/>
      <w:bookmarkEnd w:id="0"/>
    </w:p>
    <w:sectPr>
      <w:footerReference r:id="rId3" w:type="default"/>
      <w:pgSz w:w="11906" w:h="16838"/>
      <w:pgMar w:top="1100" w:right="1800" w:bottom="110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CBDC7C2-8811-4DC8-BD53-70670A7E5E16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8BB7831-8006-4688-BF1B-BBFFF99B3F1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E54EECE-8428-4C73-9C17-630297D20D08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A20EF211-D6E0-4014-809E-CC469F637A1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01F5889-B2B4-434F-BDDA-A6F8D487734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A9F4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E81CBD6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81CBD6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125FF9"/>
    <w:rsid w:val="5525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2026-09-30T02:46:10Z</dcterms:created>
  <dc:creator>程博文</dc:creator>
  <cp:lastModifiedBy>程博文</cp:lastModifiedBy>
  <dcterms:modified xsi:type="dcterms:W3CDTF">2026-09-30T02:46:22Z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eyJoZGlkIjoiZGE3Y2I3OTRlNTA1NjUwZGY1NGI3NTM4NWZhMGI4N2IiLCJ1c2VySWQiOiIyMzg4MTg1OTgifQ==</vt:lpwstr>
  </property>
  <property fmtid="{D5CDD505-2E9C-101B-9397-08002B2CF9AE}" pid="4" name="ICV">
    <vt:lpwstr>32915BF807214A6E8CFECD395D2BF7D5_12</vt:lpwstr>
  </property>
</Properties>
</file>